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020FF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BA65C3" w:rsidRPr="00BA65C3">
                <w:rPr>
                  <w:rFonts w:ascii="Arial" w:hAnsi="Arial" w:cs="Arial"/>
                  <w:b/>
                  <w:bCs/>
                  <w:sz w:val="36"/>
                  <w:szCs w:val="36"/>
                </w:rPr>
                <w:t>1-[(5-Nitrofurfurylidene)amino]-2-imidazolidinone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020F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E5547E" w:rsidRPr="00E5547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1-[(5-Nitrofurfurylidene)amino]-2-imidazolidinone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CD5836">
            <w:rPr>
              <w:rFonts w:ascii="Arial" w:hAnsi="Arial" w:cs="Arial"/>
              <w:sz w:val="20"/>
              <w:szCs w:val="20"/>
            </w:rPr>
            <w:t xml:space="preserve">(also known as nifuradene)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CD5836">
            <w:rPr>
              <w:rFonts w:ascii="Arial" w:hAnsi="Arial" w:cs="Arial"/>
              <w:sz w:val="20"/>
              <w:szCs w:val="20"/>
            </w:rPr>
            <w:t>classified</w:t>
          </w:r>
          <w:r w:rsidR="00B1456D">
            <w:rPr>
              <w:rFonts w:ascii="Arial" w:hAnsi="Arial" w:cs="Arial"/>
              <w:sz w:val="20"/>
              <w:szCs w:val="20"/>
            </w:rPr>
            <w:t xml:space="preserve"> by </w:t>
          </w:r>
          <w:proofErr w:type="spellStart"/>
          <w:r w:rsidR="00B1456D">
            <w:rPr>
              <w:rFonts w:ascii="Arial" w:hAnsi="Arial" w:cs="Arial"/>
              <w:sz w:val="20"/>
              <w:szCs w:val="20"/>
            </w:rPr>
            <w:t>IARC</w:t>
          </w:r>
          <w:proofErr w:type="spellEnd"/>
          <w:r w:rsidR="00B1456D">
            <w:rPr>
              <w:rFonts w:ascii="Arial" w:hAnsi="Arial" w:cs="Arial"/>
              <w:sz w:val="20"/>
              <w:szCs w:val="20"/>
            </w:rPr>
            <w:t xml:space="preserve"> as Group 2B, possibly carcinogenic to humans. It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B1456D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961BA">
            <w:rPr>
              <w:rFonts w:ascii="Arial" w:hAnsi="Arial" w:cs="Arial"/>
              <w:sz w:val="20"/>
              <w:szCs w:val="20"/>
            </w:rPr>
            <w:t xml:space="preserve"> The chemical is mainly used for research purposes only and not for human, therapeutic, or diagnostic applications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1456D" w:rsidRPr="00B1456D">
            <w:rPr>
              <w:rFonts w:ascii="Arial" w:hAnsi="Arial" w:cs="Arial"/>
              <w:bCs/>
              <w:sz w:val="20"/>
              <w:szCs w:val="20"/>
            </w:rPr>
            <w:t>555-84-0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B1456D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1456D" w:rsidRPr="00B1456D">
            <w:rPr>
              <w:rFonts w:ascii="Arial" w:hAnsi="Arial" w:cs="Arial"/>
              <w:bCs/>
              <w:sz w:val="20"/>
              <w:szCs w:val="20"/>
            </w:rPr>
            <w:t>C</w:t>
          </w:r>
          <w:r w:rsidR="00B1456D" w:rsidRPr="00B1456D">
            <w:rPr>
              <w:rFonts w:ascii="Arial" w:hAnsi="Arial" w:cs="Arial"/>
              <w:bCs/>
              <w:sz w:val="20"/>
              <w:szCs w:val="20"/>
              <w:vertAlign w:val="subscript"/>
            </w:rPr>
            <w:t>8</w:t>
          </w:r>
          <w:r w:rsidR="00B1456D" w:rsidRPr="00B1456D">
            <w:rPr>
              <w:rFonts w:ascii="Arial" w:hAnsi="Arial" w:cs="Arial"/>
              <w:bCs/>
              <w:sz w:val="20"/>
              <w:szCs w:val="20"/>
            </w:rPr>
            <w:t>H</w:t>
          </w:r>
          <w:r w:rsidR="00B1456D" w:rsidRPr="00B1456D">
            <w:rPr>
              <w:rFonts w:ascii="Arial" w:hAnsi="Arial" w:cs="Arial"/>
              <w:bCs/>
              <w:sz w:val="20"/>
              <w:szCs w:val="20"/>
              <w:vertAlign w:val="subscript"/>
            </w:rPr>
            <w:t>8</w:t>
          </w:r>
          <w:r w:rsidR="00B1456D" w:rsidRPr="00B1456D">
            <w:rPr>
              <w:rFonts w:ascii="Arial" w:hAnsi="Arial" w:cs="Arial"/>
              <w:bCs/>
              <w:sz w:val="20"/>
              <w:szCs w:val="20"/>
            </w:rPr>
            <w:t>N</w:t>
          </w:r>
          <w:r w:rsidR="00B1456D" w:rsidRPr="00B1456D">
            <w:rPr>
              <w:rFonts w:ascii="Arial" w:hAnsi="Arial" w:cs="Arial"/>
              <w:bCs/>
              <w:sz w:val="20"/>
              <w:szCs w:val="20"/>
              <w:vertAlign w:val="subscript"/>
            </w:rPr>
            <w:t>4</w:t>
          </w:r>
          <w:r w:rsidR="00B1456D" w:rsidRPr="00B1456D">
            <w:rPr>
              <w:rFonts w:ascii="Arial" w:hAnsi="Arial" w:cs="Arial"/>
              <w:bCs/>
              <w:sz w:val="20"/>
              <w:szCs w:val="20"/>
            </w:rPr>
            <w:t>O</w:t>
          </w:r>
          <w:r w:rsidR="00B1456D" w:rsidRPr="00B1456D">
            <w:rPr>
              <w:rFonts w:ascii="Arial" w:hAnsi="Arial" w:cs="Arial"/>
              <w:bCs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1456D">
            <w:rPr>
              <w:rFonts w:ascii="Arial" w:hAnsi="Arial" w:cs="Arial"/>
              <w:sz w:val="20"/>
              <w:szCs w:val="20"/>
            </w:rPr>
            <w:t>Y</w:t>
          </w:r>
          <w:r w:rsidR="00672C8C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50EE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020FF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01323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013239"/>
                                            </w:sdtPr>
                                            <w:sdtEndPr/>
                                            <w:sdtContent>
                                              <w:r w:rsidR="00E5547E" w:rsidRPr="00E5547E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1-[(5-Nitrofurfurylidene)amino]-2-imidazolidinone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B1456D">
                <w:rPr>
                  <w:rFonts w:ascii="Arial" w:hAnsi="Arial" w:cs="Arial"/>
                  <w:sz w:val="20"/>
                  <w:szCs w:val="20"/>
                </w:rPr>
                <w:t xml:space="preserve"> classified by </w:t>
              </w:r>
              <w:proofErr w:type="spellStart"/>
              <w:r w:rsidR="00B1456D">
                <w:rPr>
                  <w:rFonts w:ascii="Arial" w:hAnsi="Arial" w:cs="Arial"/>
                  <w:sz w:val="20"/>
                  <w:szCs w:val="20"/>
                </w:rPr>
                <w:t>IARC</w:t>
              </w:r>
              <w:proofErr w:type="spellEnd"/>
              <w:r w:rsidR="00B1456D">
                <w:rPr>
                  <w:rFonts w:ascii="Arial" w:hAnsi="Arial" w:cs="Arial"/>
                  <w:sz w:val="20"/>
                  <w:szCs w:val="20"/>
                </w:rPr>
                <w:t xml:space="preserve"> as Group 2B, possibly carcinogenic to humans. It may be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B1456D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21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>The toxicological properties have not been fully investigated.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423F0" w:rsidRPr="003F564F" w:rsidRDefault="00F423F0" w:rsidP="00F423F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020F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013250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013251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E5547E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1-[(5-n</w:t>
                                                              </w:r>
                                                              <w:r w:rsidR="00E5547E" w:rsidRPr="00E5547E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itrofurfurylidene)amino]-2-imidazolidinone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020F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020F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020F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020F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020F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020F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836A51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020F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020FF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020F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020F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020F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020F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020F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 xml:space="preserve">Avoid </w:t>
      </w:r>
      <w:r w:rsidR="0091565F">
        <w:rPr>
          <w:rFonts w:ascii="Arial" w:hAnsi="Arial" w:cs="Arial"/>
          <w:sz w:val="20"/>
          <w:szCs w:val="20"/>
        </w:rPr>
        <w:t>strong oxidizing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248D3" w:rsidRDefault="00F248D3" w:rsidP="00F248D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248D3" w:rsidRPr="00600ABB" w:rsidRDefault="00F248D3" w:rsidP="00F248D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248D3" w:rsidRDefault="00F248D3" w:rsidP="00F248D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248D3" w:rsidRDefault="00F248D3" w:rsidP="00F24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248D3" w:rsidRPr="00C94889" w:rsidRDefault="00F248D3" w:rsidP="00F24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F248D3" w:rsidRDefault="00F248D3" w:rsidP="00F248D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248D3" w:rsidRPr="003F564F" w:rsidRDefault="00F248D3" w:rsidP="00F248D3">
      <w:pPr>
        <w:pStyle w:val="Heading1"/>
      </w:pPr>
    </w:p>
    <w:p w:rsidR="00F248D3" w:rsidRDefault="00F248D3" w:rsidP="00F248D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F248D3" w:rsidRPr="00265CA6" w:rsidRDefault="00F248D3" w:rsidP="00F248D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F248D3" w:rsidRDefault="00F248D3" w:rsidP="00F248D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248D3" w:rsidRPr="00265CA6" w:rsidRDefault="00F248D3" w:rsidP="00F248D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A5ED8" w:rsidRPr="00F17523" w:rsidRDefault="004A5ED8" w:rsidP="004A5ED8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4A5ED8" w:rsidRPr="004A5ED8" w:rsidRDefault="004A5ED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9020F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4A5ED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AD1654" w:rsidRPr="00AF1F08" w:rsidRDefault="00AD1654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020F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01325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101325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E5547E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1-[(5-n</w:t>
                                                                  </w:r>
                                                                  <w:r w:rsidR="00E5547E" w:rsidRPr="00E5547E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itrofurfurylidene)amino]-2-imidazolidinone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E95" w:rsidRPr="00514382" w:rsidRDefault="00E56E95" w:rsidP="00E56E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:rsidR="00E56E95" w:rsidRPr="00514382" w:rsidRDefault="00E56E95" w:rsidP="00E56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E95" w:rsidRPr="00514382" w:rsidRDefault="00E56E95" w:rsidP="00E56E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020FF" w:rsidRDefault="009020FF" w:rsidP="009020FF">
      <w:pPr>
        <w:rPr>
          <w:rFonts w:ascii="Arial" w:hAnsi="Arial" w:cs="Arial"/>
          <w:sz w:val="20"/>
          <w:szCs w:val="20"/>
        </w:rPr>
      </w:pPr>
    </w:p>
    <w:p w:rsidR="009020FF" w:rsidRDefault="009020FF" w:rsidP="009020F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9020FF" w:rsidRDefault="009020FF" w:rsidP="009020F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020FF" w:rsidRDefault="009020FF" w:rsidP="009020FF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75276C" w:rsidRDefault="0075276C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5276C" w:rsidRDefault="0075276C" w:rsidP="00803871">
      <w:pPr>
        <w:rPr>
          <w:rFonts w:ascii="Arial" w:hAnsi="Arial" w:cs="Arial"/>
          <w:sz w:val="20"/>
          <w:szCs w:val="20"/>
        </w:rPr>
      </w:pPr>
    </w:p>
    <w:p w:rsidR="0075276C" w:rsidRDefault="0075276C" w:rsidP="00803871">
      <w:pPr>
        <w:rPr>
          <w:rFonts w:ascii="Arial" w:hAnsi="Arial" w:cs="Arial"/>
          <w:sz w:val="20"/>
          <w:szCs w:val="20"/>
        </w:rPr>
      </w:pPr>
    </w:p>
    <w:p w:rsidR="0075276C" w:rsidRDefault="0075276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B0" w:rsidRDefault="005371B0" w:rsidP="00E83E8B">
      <w:pPr>
        <w:spacing w:after="0" w:line="240" w:lineRule="auto"/>
      </w:pPr>
      <w:r>
        <w:separator/>
      </w:r>
    </w:p>
  </w:endnote>
  <w:endnote w:type="continuationSeparator" w:id="0">
    <w:p w:rsidR="005371B0" w:rsidRDefault="005371B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9020F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013236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013237"/>
                                          </w:sdtPr>
                                          <w:sdtEndPr/>
                                          <w:sdtContent>
                                            <w:r w:rsidR="00E5547E" w:rsidRPr="00E5547E">
                                              <w:rPr>
                                                <w:rFonts w:ascii="Arial" w:hAnsi="Arial" w:cs="Arial"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1-[(5-Nitrofurfurylidene)amino]-2-imidazolidinone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 w:rsidR="00AD1654" w:rsidRPr="00AD1654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D1654" w:rsidRPr="00AD1654">
          <w:rPr>
            <w:rFonts w:ascii="Arial" w:hAnsi="Arial" w:cs="Arial"/>
            <w:bCs/>
            <w:sz w:val="18"/>
            <w:szCs w:val="18"/>
          </w:rPr>
          <w:fldChar w:fldCharType="begin"/>
        </w:r>
        <w:r w:rsidR="00AD1654" w:rsidRPr="00AD1654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D1654" w:rsidRPr="00AD1654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D1654" w:rsidRPr="00AD1654">
          <w:rPr>
            <w:rFonts w:ascii="Arial" w:hAnsi="Arial" w:cs="Arial"/>
            <w:bCs/>
            <w:sz w:val="18"/>
            <w:szCs w:val="18"/>
          </w:rPr>
          <w:fldChar w:fldCharType="end"/>
        </w:r>
        <w:r w:rsidR="00AD1654" w:rsidRPr="00AD1654">
          <w:rPr>
            <w:rFonts w:ascii="Arial" w:hAnsi="Arial" w:cs="Arial"/>
            <w:sz w:val="18"/>
            <w:szCs w:val="18"/>
          </w:rPr>
          <w:t xml:space="preserve"> of </w:t>
        </w:r>
        <w:r w:rsidR="00AD1654" w:rsidRPr="00AD1654">
          <w:rPr>
            <w:rFonts w:ascii="Arial" w:hAnsi="Arial" w:cs="Arial"/>
            <w:bCs/>
            <w:sz w:val="18"/>
            <w:szCs w:val="18"/>
          </w:rPr>
          <w:fldChar w:fldCharType="begin"/>
        </w:r>
        <w:r w:rsidR="00AD1654" w:rsidRPr="00AD1654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D1654" w:rsidRPr="00AD1654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D1654" w:rsidRPr="00AD1654">
          <w:rPr>
            <w:rFonts w:ascii="Arial" w:hAnsi="Arial" w:cs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83DE4">
              <w:rPr>
                <w:rFonts w:ascii="Arial" w:hAnsi="Arial" w:cs="Arial"/>
                <w:noProof/>
                <w:sz w:val="18"/>
                <w:szCs w:val="18"/>
              </w:rPr>
              <w:t>9/13/2017</w:t>
            </w:r>
          </w:sdtContent>
        </w:sdt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A83DE4" w:rsidRDefault="00AD1654" w:rsidP="00A83DE4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AD1654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AD1654">
      <w:rPr>
        <w:rFonts w:ascii="Arial" w:hAnsi="Arial" w:cs="Arial"/>
        <w:noProof/>
        <w:color w:val="A6A6A6"/>
        <w:sz w:val="12"/>
        <w:szCs w:val="12"/>
      </w:rPr>
      <w:tab/>
    </w:r>
    <w:r w:rsidRPr="00AD1654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AD1654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AD1654">
      <w:rPr>
        <w:rFonts w:ascii="Arial" w:hAnsi="Arial" w:cs="Arial"/>
        <w:noProof/>
        <w:color w:val="A6A6A6"/>
        <w:sz w:val="12"/>
        <w:szCs w:val="12"/>
      </w:rPr>
      <w:t>: Reviewed By</w:t>
    </w:r>
    <w:r w:rsidRPr="00AD1654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AD1654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B0" w:rsidRDefault="005371B0" w:rsidP="00E83E8B">
      <w:pPr>
        <w:spacing w:after="0" w:line="240" w:lineRule="auto"/>
      </w:pPr>
      <w:r>
        <w:separator/>
      </w:r>
    </w:p>
  </w:footnote>
  <w:footnote w:type="continuationSeparator" w:id="0">
    <w:p w:rsidR="005371B0" w:rsidRDefault="005371B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AD1654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1FEB"/>
    <w:rsid w:val="000F5131"/>
    <w:rsid w:val="0010020E"/>
    <w:rsid w:val="00101525"/>
    <w:rsid w:val="00102948"/>
    <w:rsid w:val="00121B88"/>
    <w:rsid w:val="00136FBD"/>
    <w:rsid w:val="00144D72"/>
    <w:rsid w:val="00160845"/>
    <w:rsid w:val="00172880"/>
    <w:rsid w:val="00174C27"/>
    <w:rsid w:val="00175AF2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712F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961BA"/>
    <w:rsid w:val="004A5ED8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371B0"/>
    <w:rsid w:val="00546E5E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25596"/>
    <w:rsid w:val="007268C5"/>
    <w:rsid w:val="0073301A"/>
    <w:rsid w:val="00734BB8"/>
    <w:rsid w:val="007350F5"/>
    <w:rsid w:val="00743002"/>
    <w:rsid w:val="007456FD"/>
    <w:rsid w:val="0075276C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1E23"/>
    <w:rsid w:val="00794BA9"/>
    <w:rsid w:val="00796718"/>
    <w:rsid w:val="007A3E63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3871"/>
    <w:rsid w:val="008129F2"/>
    <w:rsid w:val="008168DD"/>
    <w:rsid w:val="00834CD2"/>
    <w:rsid w:val="00836A51"/>
    <w:rsid w:val="00837AFC"/>
    <w:rsid w:val="008406C2"/>
    <w:rsid w:val="0084116F"/>
    <w:rsid w:val="00850978"/>
    <w:rsid w:val="008510A7"/>
    <w:rsid w:val="00866AE7"/>
    <w:rsid w:val="008706E6"/>
    <w:rsid w:val="00874FAC"/>
    <w:rsid w:val="0088256F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0FF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4485C"/>
    <w:rsid w:val="00A52E06"/>
    <w:rsid w:val="00A60A2A"/>
    <w:rsid w:val="00A611A7"/>
    <w:rsid w:val="00A6695B"/>
    <w:rsid w:val="00A70036"/>
    <w:rsid w:val="00A73335"/>
    <w:rsid w:val="00A83DE4"/>
    <w:rsid w:val="00A83E3B"/>
    <w:rsid w:val="00A874A1"/>
    <w:rsid w:val="00AC190B"/>
    <w:rsid w:val="00AD1654"/>
    <w:rsid w:val="00AD72E3"/>
    <w:rsid w:val="00AF4FD3"/>
    <w:rsid w:val="00AF63A0"/>
    <w:rsid w:val="00B06891"/>
    <w:rsid w:val="00B06CB0"/>
    <w:rsid w:val="00B1011D"/>
    <w:rsid w:val="00B1456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A65C3"/>
    <w:rsid w:val="00BB1EC5"/>
    <w:rsid w:val="00BC12CE"/>
    <w:rsid w:val="00BD3737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16D1"/>
    <w:rsid w:val="00C839FB"/>
    <w:rsid w:val="00C86629"/>
    <w:rsid w:val="00C94F6C"/>
    <w:rsid w:val="00CA0DA6"/>
    <w:rsid w:val="00CA33DB"/>
    <w:rsid w:val="00CA41A4"/>
    <w:rsid w:val="00CB5746"/>
    <w:rsid w:val="00CC7E19"/>
    <w:rsid w:val="00CD5836"/>
    <w:rsid w:val="00CE0CAF"/>
    <w:rsid w:val="00CF1157"/>
    <w:rsid w:val="00CF1625"/>
    <w:rsid w:val="00CF6C75"/>
    <w:rsid w:val="00D00746"/>
    <w:rsid w:val="00D011A1"/>
    <w:rsid w:val="00D21841"/>
    <w:rsid w:val="00D27079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54197"/>
    <w:rsid w:val="00E5547E"/>
    <w:rsid w:val="00E56E95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48D3"/>
    <w:rsid w:val="00F278BB"/>
    <w:rsid w:val="00F36E40"/>
    <w:rsid w:val="00F423F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6593AF3-9285-45F0-9ABC-0FB8C10F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8E1DB1"/>
    <w:rsid w:val="008E22BE"/>
    <w:rsid w:val="00926103"/>
    <w:rsid w:val="00933A25"/>
    <w:rsid w:val="00941C4D"/>
    <w:rsid w:val="009462F2"/>
    <w:rsid w:val="00966BD6"/>
    <w:rsid w:val="00A2238E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CC8A-CA11-4AA7-B40E-01947238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2017-10-11T18:02:00Z</dcterms:created>
  <dcterms:modified xsi:type="dcterms:W3CDTF">2017-10-13T17:02:00Z</dcterms:modified>
</cp:coreProperties>
</file>